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FD5" w:rsidRDefault="00A06FD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360" w:firstLine="1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:rsidR="00A06FD5" w:rsidRDefault="00F3628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360" w:firstLine="1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ПРОТОКОЛ №01/21</w:t>
      </w:r>
    </w:p>
    <w:p w:rsidR="00A06FD5" w:rsidRDefault="00F3628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360" w:firstLine="1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Засідання ініціативної групи з формування складу молодіжної ради при виконавчому комітету Вараської міської ради на 2021-2023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р.р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:rsidR="00A06FD5" w:rsidRDefault="00F3628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bidi/>
        <w:ind w:left="360" w:firstLine="1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від 10.03.2021 р.</w:t>
      </w:r>
    </w:p>
    <w:p w:rsidR="00A06FD5" w:rsidRDefault="00A06FD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240"/>
        <w:ind w:left="360" w:firstLine="12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06FD5" w:rsidRDefault="00F3628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360" w:firstLine="1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Присутні: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Бураков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Є. А.,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Бабік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В. В.,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Хлібович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Б. А., Радчук В. В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>.</w:t>
      </w:r>
      <w:r>
        <w:rPr>
          <w:rFonts w:ascii="Arial" w:eastAsia="Arial" w:hAnsi="Arial" w:cs="Arial"/>
          <w:i/>
          <w:color w:val="000000"/>
          <w:sz w:val="24"/>
          <w:szCs w:val="24"/>
        </w:rPr>
        <w:t>,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Антонюк А. В.,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Євстігнєєв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А. Б. </w:t>
      </w:r>
    </w:p>
    <w:p w:rsidR="00A06FD5" w:rsidRDefault="00A06FD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360" w:firstLine="12"/>
        <w:rPr>
          <w:rFonts w:ascii="Arial" w:eastAsia="Arial" w:hAnsi="Arial" w:cs="Arial"/>
          <w:color w:val="000000"/>
          <w:sz w:val="24"/>
          <w:szCs w:val="24"/>
        </w:rPr>
      </w:pPr>
    </w:p>
    <w:p w:rsidR="00A06FD5" w:rsidRDefault="00F3628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360" w:firstLine="1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Відсутні:</w:t>
      </w: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Чернявський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Д. О.,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Харечко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С. А.</w:t>
      </w:r>
    </w:p>
    <w:p w:rsidR="00A06FD5" w:rsidRDefault="00A06FD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360" w:firstLine="12"/>
        <w:rPr>
          <w:rFonts w:ascii="Arial" w:eastAsia="Arial" w:hAnsi="Arial" w:cs="Arial"/>
          <w:color w:val="000000"/>
          <w:sz w:val="24"/>
          <w:szCs w:val="24"/>
        </w:rPr>
      </w:pPr>
    </w:p>
    <w:p w:rsidR="00A06FD5" w:rsidRDefault="00F36286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Порядок денний:</w:t>
      </w:r>
    </w:p>
    <w:p w:rsidR="00A06FD5" w:rsidRDefault="00F362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Про необхідність проведення установчих зборів;</w:t>
      </w:r>
    </w:p>
    <w:p w:rsidR="00A06FD5" w:rsidRDefault="00F362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Про необхідність підготовки повідомлення про проведення установчих зборів;</w:t>
      </w:r>
    </w:p>
    <w:p w:rsidR="00A06FD5" w:rsidRDefault="00F362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Про повідомлення та відповідальну особу.</w:t>
      </w:r>
    </w:p>
    <w:p w:rsidR="00A06FD5" w:rsidRDefault="00F362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Про подальшу процедуру.</w:t>
      </w:r>
    </w:p>
    <w:p w:rsidR="00A06FD5" w:rsidRDefault="00F362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2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По пункту №1: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слухали:</w:t>
      </w:r>
    </w:p>
    <w:p w:rsidR="00A06FD5" w:rsidRDefault="00F3628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14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голову ініціативної групи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Буракова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Є. А. який розповів що відповідно до типового положення про молодіжний консультативно-дорадчий орган регіонального рівня затвердженого постановою Кабінету Міністрів України</w:t>
      </w:r>
    </w:p>
    <w:p w:rsidR="00A06FD5" w:rsidRDefault="00F3628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14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від 18 грудня 2018 р. № 1198 склад молодіжної ради формується на установчих зборах та що їх підготовка та проведення має відбуватись відповідно до цього положення.</w:t>
      </w:r>
    </w:p>
    <w:p w:rsidR="00A06FD5" w:rsidRDefault="00F3628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240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Вирішили: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A06FD5" w:rsidRDefault="00F3628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14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інформацію взяти до відома.</w:t>
      </w:r>
    </w:p>
    <w:p w:rsidR="00A06FD5" w:rsidRDefault="00F362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2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По пункту №2: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слухали:</w:t>
      </w:r>
    </w:p>
    <w:p w:rsidR="00A06FD5" w:rsidRDefault="00A06FD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06FD5" w:rsidRDefault="00F3628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голову ініціативної групи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Буракова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Є. А. який розповів що відповідно до            типового положення про молодіжний консультативно-дорадчий орган регіонального рівня затвердженого постановою Кабінету Міністрів України від 18 грудня 2018 р. №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1198 ініціативна група має визначити деталі проведення зборів та підготовити та затвердити повідомлення про їх проведення </w:t>
      </w:r>
    </w:p>
    <w:p w:rsidR="00A06FD5" w:rsidRDefault="00F3628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240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Вирішили: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A06FD5" w:rsidRDefault="00F362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Підготовити повідомлення</w:t>
      </w:r>
    </w:p>
    <w:p w:rsidR="00A06FD5" w:rsidRDefault="00A06FD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144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06FD5" w:rsidRDefault="00A06FD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144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06FD5" w:rsidRDefault="00F362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По пункту №3: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слухали</w:t>
      </w:r>
    </w:p>
    <w:p w:rsidR="00A06FD5" w:rsidRDefault="00F362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Члена ініціативної групи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Бабіка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В. В. який запропонував повідомлення у наступній редакції та члена ініціативної групи Радчук В. В. яка запропонувала створити аплікаційну онлайн форму для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діджіталізації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та осучаснення подачі заявок, голову ініціативної груп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Буракова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Є. А. який запропонував призначити відповідальною особою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Бабіка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В. В.:</w:t>
      </w:r>
    </w:p>
    <w:p w:rsidR="00A06FD5" w:rsidRDefault="00A06F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06FD5" w:rsidRDefault="00A06FD5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06FD5" w:rsidRDefault="00A06F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06FD5" w:rsidRDefault="00A06F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06FD5" w:rsidRDefault="00A06F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06FD5" w:rsidRDefault="00A06F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06FD5" w:rsidRDefault="00A06F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06FD5" w:rsidRDefault="00A06F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06FD5" w:rsidRDefault="00A06F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06FD5" w:rsidRDefault="00A06F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06FD5" w:rsidRDefault="00F362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Інформація про місце, дату та час установчих зборів молодіжної ради Вараської міської об’єднаної територіальної громади.</w:t>
      </w:r>
    </w:p>
    <w:p w:rsidR="00A06FD5" w:rsidRDefault="00A06F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06FD5" w:rsidRDefault="00F362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>Установчі збори молодіжної ради Вараської міської об’єднаної територіальної громади відбудуться 11 травня 2021 року о 17 годині 30 хвилин у приміщенні виконавчого комітету Вараської міської ради (майдан Незалежності, буд.1, 3-й поверх, «зелена зала»).</w:t>
      </w:r>
    </w:p>
    <w:p w:rsidR="00A06FD5" w:rsidRDefault="00A06F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06FD5" w:rsidRDefault="00F362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До </w:t>
      </w:r>
      <w:r>
        <w:rPr>
          <w:rFonts w:ascii="Arial" w:eastAsia="Arial" w:hAnsi="Arial" w:cs="Arial"/>
          <w:color w:val="000000"/>
          <w:sz w:val="22"/>
          <w:szCs w:val="22"/>
        </w:rPr>
        <w:t>складу молодіжної ради можуть входити громадяни України віком від 14 до 35 років, які є:</w:t>
      </w:r>
    </w:p>
    <w:p w:rsidR="00A06FD5" w:rsidRDefault="00A06F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06FD5" w:rsidRDefault="00F362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>- представниками громадських об’єднань та/або відокремлених підрозділів громадських об’єднань, підприємств, установ, організацій, що провадять діяльність у сфері моло</w:t>
      </w:r>
      <w:r>
        <w:rPr>
          <w:rFonts w:ascii="Arial" w:eastAsia="Arial" w:hAnsi="Arial" w:cs="Arial"/>
          <w:color w:val="000000"/>
          <w:sz w:val="22"/>
          <w:szCs w:val="22"/>
        </w:rPr>
        <w:t>діжної політики на території Вараської міської ОТГ;</w:t>
      </w:r>
    </w:p>
    <w:p w:rsidR="00A06FD5" w:rsidRDefault="00A06F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06FD5" w:rsidRDefault="00F362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>- представниками закладів освіти, кандидатури яких подаються учнівським або студентським самоврядуванням кожного навчального закладу;</w:t>
      </w:r>
    </w:p>
    <w:p w:rsidR="00A06FD5" w:rsidRDefault="00A06F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06FD5" w:rsidRDefault="00F362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>-  жителями  Вараської міської ОТГ, які делегуються до складу молоді</w:t>
      </w:r>
      <w:r>
        <w:rPr>
          <w:rFonts w:ascii="Arial" w:eastAsia="Arial" w:hAnsi="Arial" w:cs="Arial"/>
          <w:color w:val="000000"/>
          <w:sz w:val="22"/>
          <w:szCs w:val="22"/>
        </w:rPr>
        <w:t>жної ради з власної ініціативи.</w:t>
      </w:r>
    </w:p>
    <w:p w:rsidR="00A06FD5" w:rsidRDefault="00A06F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06FD5" w:rsidRDefault="00F362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 складу молодіжної ради може бути обрано не більше одного представника від кожного інституту громадянського суспільства, що виявив бажання увійти до складу молодіжної ради.</w:t>
      </w:r>
    </w:p>
    <w:p w:rsidR="00A06FD5" w:rsidRDefault="00A06F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06FD5" w:rsidRDefault="00F362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>Для участі в установчих зборах необхідно заповн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ити </w:t>
      </w:r>
      <w:hyperlink r:id="rId5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аплікаційну онлайн форму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br/>
      </w:r>
    </w:p>
    <w:p w:rsidR="00A06FD5" w:rsidRDefault="00F362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>В аплікаційній формі потрібно долучити письмову згоду відправника на обробку його персональних даних у довільній формі та прийняте у порядку, встановленому установчими д</w:t>
      </w:r>
      <w:r>
        <w:rPr>
          <w:rFonts w:ascii="Arial" w:eastAsia="Arial" w:hAnsi="Arial" w:cs="Arial"/>
          <w:color w:val="000000"/>
          <w:sz w:val="22"/>
          <w:szCs w:val="22"/>
        </w:rPr>
        <w:t>окументами інституту громадянського суспільства, рішення про делегування для участі в установчих зборах представника, який одночасно є кандидатом на обрання до складу молодіжної ради (у разі делегування від інституту громадянського суспільства).</w:t>
      </w:r>
    </w:p>
    <w:p w:rsidR="00A06FD5" w:rsidRDefault="00A06F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06FD5" w:rsidRDefault="00F362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>Заявки пр</w:t>
      </w:r>
      <w:r>
        <w:rPr>
          <w:rFonts w:ascii="Arial" w:eastAsia="Arial" w:hAnsi="Arial" w:cs="Arial"/>
          <w:color w:val="000000"/>
          <w:sz w:val="22"/>
          <w:szCs w:val="22"/>
        </w:rPr>
        <w:t>иймаються ініціативною групою до 11 квітня 2021 року включно.</w:t>
      </w:r>
    </w:p>
    <w:p w:rsidR="00A06FD5" w:rsidRDefault="00F362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>Персональний склад ініціативної групи:</w:t>
      </w:r>
    </w:p>
    <w:p w:rsidR="00A06FD5" w:rsidRDefault="00F362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Бураков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Євгеній - голова ініціативної групи, голова організації молоді ВП РАЕС ДП НАЕК «Енергоатом»</w:t>
      </w:r>
    </w:p>
    <w:p w:rsidR="00A06FD5" w:rsidRDefault="00F362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Бабік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Володимир - представник ГО «Активна молодь міста»</w:t>
      </w:r>
    </w:p>
    <w:p w:rsidR="00A06FD5" w:rsidRDefault="00F362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Хлібович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Богдан - голова Вараської міської ради старшокласників «Ватра»</w:t>
      </w:r>
    </w:p>
    <w:p w:rsidR="00A06FD5" w:rsidRDefault="00F362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>Радчук Вікторія - представник ГО «Станиця Вараш Пласту-Національної скаутської організації України»</w:t>
      </w:r>
    </w:p>
    <w:p w:rsidR="00A06FD5" w:rsidRDefault="00F362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Євстігнєєв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Андрій - представник ГО «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УкрЯТ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в Рівненській області»</w:t>
      </w:r>
    </w:p>
    <w:p w:rsidR="00A06FD5" w:rsidRDefault="00F362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Чернявський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Дмитро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- член ініціативної групи, представник ГО «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Ольбери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»</w:t>
      </w:r>
    </w:p>
    <w:p w:rsidR="00A06FD5" w:rsidRDefault="00F362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>Антонюк Анастасія - представник ГО «Активна молодь міста»</w:t>
      </w:r>
    </w:p>
    <w:p w:rsidR="00A06FD5" w:rsidRDefault="00F362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Харечко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Станіслав - представник спортивного клубу «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AmberTriSports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»</w:t>
      </w:r>
    </w:p>
    <w:p w:rsidR="00A06FD5" w:rsidRDefault="00A06F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06FD5" w:rsidRDefault="00F3628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Контактна особа: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Бабік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Володимир, 096-192-29-89, </w:t>
      </w:r>
      <w:hyperlink r:id="rId6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lawmailbabik@gmail.com</w:t>
        </w:r>
      </w:hyperlink>
    </w:p>
    <w:p w:rsidR="00A06FD5" w:rsidRDefault="00F3628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240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Вирішили: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затвердити повідомлення у наступній редакції, призначити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Бабіка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В.В. відповідальною особою.</w:t>
      </w:r>
    </w:p>
    <w:p w:rsidR="00A06FD5" w:rsidRDefault="00F362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По пункту №4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Обговорили подальшу процедуру по створенню молодіжної ради.</w:t>
      </w:r>
    </w:p>
    <w:p w:rsidR="00A06FD5" w:rsidRDefault="00A06FD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40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06FD5" w:rsidRDefault="00A06FD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40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5"/>
        <w:tblW w:w="990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00"/>
        <w:gridCol w:w="5400"/>
      </w:tblGrid>
      <w:tr w:rsidR="00A06FD5">
        <w:tc>
          <w:tcPr>
            <w:tcW w:w="4500" w:type="dxa"/>
          </w:tcPr>
          <w:p w:rsidR="00A06FD5" w:rsidRDefault="00F3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Голова ініціативної групи </w:t>
            </w:r>
          </w:p>
        </w:tc>
        <w:tc>
          <w:tcPr>
            <w:tcW w:w="5400" w:type="dxa"/>
          </w:tcPr>
          <w:p w:rsidR="00A06FD5" w:rsidRDefault="00A06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</w:tabs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06FD5" w:rsidRDefault="00F3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</w:tabs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Є. А.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Бураков</w:t>
            </w:r>
            <w:proofErr w:type="spellEnd"/>
          </w:p>
        </w:tc>
      </w:tr>
      <w:tr w:rsidR="00A06FD5">
        <w:tc>
          <w:tcPr>
            <w:tcW w:w="4500" w:type="dxa"/>
          </w:tcPr>
          <w:p w:rsidR="00A06FD5" w:rsidRDefault="00A06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</w:tcPr>
          <w:p w:rsidR="00A06FD5" w:rsidRDefault="00A06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</w:tabs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06FD5">
        <w:tc>
          <w:tcPr>
            <w:tcW w:w="4500" w:type="dxa"/>
          </w:tcPr>
          <w:p w:rsidR="00A06FD5" w:rsidRDefault="00F3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Секретар засідання </w:t>
            </w:r>
          </w:p>
        </w:tc>
        <w:tc>
          <w:tcPr>
            <w:tcW w:w="5400" w:type="dxa"/>
          </w:tcPr>
          <w:p w:rsidR="00A06FD5" w:rsidRDefault="00F3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</w:tabs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В. В.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Бабік</w:t>
            </w:r>
            <w:proofErr w:type="spellEnd"/>
          </w:p>
        </w:tc>
      </w:tr>
    </w:tbl>
    <w:p w:rsidR="00A06FD5" w:rsidRDefault="00A06FD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40"/>
        </w:tabs>
        <w:rPr>
          <w:rFonts w:ascii="Arial" w:eastAsia="Arial" w:hAnsi="Arial" w:cs="Arial"/>
          <w:color w:val="000000"/>
          <w:sz w:val="24"/>
          <w:szCs w:val="24"/>
        </w:rPr>
      </w:pPr>
    </w:p>
    <w:sectPr w:rsidR="00A06FD5">
      <w:pgSz w:w="11906" w:h="16838"/>
      <w:pgMar w:top="567" w:right="567" w:bottom="567" w:left="125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2628"/>
    <w:multiLevelType w:val="multilevel"/>
    <w:tmpl w:val="F10E41B2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50D242D"/>
    <w:multiLevelType w:val="multilevel"/>
    <w:tmpl w:val="FBB2659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vertAlign w:val="baseline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CB9501B"/>
    <w:multiLevelType w:val="multilevel"/>
    <w:tmpl w:val="E0827FB6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4F9440C"/>
    <w:multiLevelType w:val="multilevel"/>
    <w:tmpl w:val="9168B1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D5"/>
    <w:rsid w:val="00A06FD5"/>
    <w:rsid w:val="00F3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A1326-E93C-4694-83C2-77255666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wmailbabik@gmail.com" TargetMode="External"/><Relationship Id="rId5" Type="http://schemas.openxmlformats.org/officeDocument/2006/relationships/hyperlink" Target="https://forms.gle/Af4fhaYtVzZR1Zt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2858</Words>
  <Characters>1630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Petrovich</dc:creator>
  <cp:lastModifiedBy>Natalia Petrovich</cp:lastModifiedBy>
  <cp:revision>2</cp:revision>
  <dcterms:created xsi:type="dcterms:W3CDTF">2021-03-24T08:50:00Z</dcterms:created>
  <dcterms:modified xsi:type="dcterms:W3CDTF">2021-03-24T08:50:00Z</dcterms:modified>
</cp:coreProperties>
</file>